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27" w:rsidRPr="00FD1ECC" w:rsidRDefault="00D83927" w:rsidP="00D83927">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D83927" w:rsidRPr="00FD1ECC" w:rsidRDefault="00D83927" w:rsidP="00D83927">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D83927" w:rsidRDefault="00D83927" w:rsidP="00CB0663">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BARLA LAHİKASI</w:t>
      </w:r>
      <w:r w:rsidRPr="00FD1ECC">
        <w:rPr>
          <w:rFonts w:ascii="Calibri" w:hAnsi="Calibri" w:cs="Calibri"/>
          <w:color w:val="0000B0"/>
          <w:sz w:val="28"/>
          <w:szCs w:val="28"/>
        </w:rPr>
        <w:t xml:space="preserve"> </w:t>
      </w:r>
      <w:r>
        <w:rPr>
          <w:rFonts w:ascii="Calibri" w:hAnsi="Calibri" w:cs="Calibri"/>
          <w:color w:val="0000B0"/>
          <w:sz w:val="28"/>
          <w:szCs w:val="28"/>
        </w:rPr>
        <w:t xml:space="preserve">29. </w:t>
      </w:r>
      <w:r w:rsidRPr="00CB0663">
        <w:rPr>
          <w:rFonts w:ascii="Calibri" w:hAnsi="Calibri" w:cs="Calibri"/>
          <w:color w:val="0000B0"/>
          <w:sz w:val="28"/>
          <w:szCs w:val="28"/>
        </w:rPr>
        <w:t>SAYFANIN TAHŞİYESİ – Günün Şartlarında Tarikatların Durumları</w:t>
      </w:r>
      <w:r w:rsidRPr="00CB0663">
        <w:rPr>
          <w:rStyle w:val="FootnoteReference"/>
          <w:rFonts w:ascii="Calibri" w:hAnsi="Calibri" w:cs="Calibri"/>
          <w:color w:val="0000B0"/>
          <w:sz w:val="28"/>
          <w:szCs w:val="28"/>
        </w:rPr>
        <w:footnoteReference w:id="2"/>
      </w:r>
      <w:r w:rsidR="00D93F94" w:rsidRPr="00CB0663">
        <w:rPr>
          <w:rFonts w:ascii="Calibri" w:hAnsi="Calibri" w:cs="Calibri"/>
          <w:color w:val="0000B0"/>
          <w:sz w:val="28"/>
          <w:szCs w:val="28"/>
        </w:rPr>
        <w:t xml:space="preserve"> </w:t>
      </w:r>
    </w:p>
    <w:p w:rsidR="00D83927" w:rsidRDefault="00D83927" w:rsidP="00CB0663">
      <w:pPr>
        <w:spacing w:before="120" w:after="0" w:line="240" w:lineRule="auto"/>
        <w:jc w:val="both"/>
        <w:rPr>
          <w:sz w:val="24"/>
          <w:szCs w:val="24"/>
        </w:rPr>
      </w:pPr>
      <w:r w:rsidRPr="00D83927">
        <w:rPr>
          <w:sz w:val="24"/>
          <w:szCs w:val="24"/>
        </w:rPr>
        <w:t>Üstadım bana ve dinleyen her zevi-l ukûle, "</w:t>
      </w:r>
      <w:r w:rsidRPr="00CB0663">
        <w:rPr>
          <w:b/>
          <w:bCs/>
          <w:sz w:val="24"/>
          <w:szCs w:val="24"/>
        </w:rPr>
        <w:t>Tarîkat zamanı değil</w:t>
      </w:r>
      <w:r w:rsidRPr="00D83927">
        <w:rPr>
          <w:sz w:val="24"/>
          <w:szCs w:val="24"/>
        </w:rPr>
        <w:t>,</w:t>
      </w:r>
      <w:r>
        <w:rPr>
          <w:rStyle w:val="FootnoteReference"/>
          <w:sz w:val="24"/>
          <w:szCs w:val="24"/>
        </w:rPr>
        <w:footnoteReference w:id="3"/>
      </w:r>
      <w:r w:rsidRPr="00D83927">
        <w:rPr>
          <w:sz w:val="24"/>
          <w:szCs w:val="24"/>
        </w:rPr>
        <w:t xml:space="preserve"> </w:t>
      </w:r>
      <w:r w:rsidRPr="00CB0663">
        <w:rPr>
          <w:b/>
          <w:bCs/>
          <w:sz w:val="24"/>
          <w:szCs w:val="24"/>
        </w:rPr>
        <w:t>imanı kurtarmak zamanıdır</w:t>
      </w:r>
      <w:r>
        <w:rPr>
          <w:rStyle w:val="FootnoteReference"/>
          <w:sz w:val="24"/>
          <w:szCs w:val="24"/>
        </w:rPr>
        <w:footnoteReference w:id="4"/>
      </w:r>
      <w:r w:rsidRPr="00D83927">
        <w:rPr>
          <w:sz w:val="24"/>
          <w:szCs w:val="24"/>
        </w:rPr>
        <w:t xml:space="preserve">, beş vakit namazını hakkıyla eda et, namazın nihayetindeki tesbihleri yap, </w:t>
      </w:r>
      <w:r w:rsidRPr="00CB0663">
        <w:rPr>
          <w:b/>
          <w:bCs/>
          <w:sz w:val="24"/>
          <w:szCs w:val="24"/>
        </w:rPr>
        <w:t xml:space="preserve">ittiba'-ı </w:t>
      </w:r>
      <w:r w:rsidRPr="00CB0663">
        <w:rPr>
          <w:b/>
          <w:bCs/>
          <w:sz w:val="24"/>
          <w:szCs w:val="24"/>
        </w:rPr>
        <w:lastRenderedPageBreak/>
        <w:t>sünnet et</w:t>
      </w:r>
      <w:r w:rsidR="00D93F94">
        <w:rPr>
          <w:rStyle w:val="FootnoteReference"/>
          <w:sz w:val="24"/>
          <w:szCs w:val="24"/>
        </w:rPr>
        <w:footnoteReference w:id="5"/>
      </w:r>
      <w:r w:rsidRPr="00D83927">
        <w:rPr>
          <w:sz w:val="24"/>
          <w:szCs w:val="24"/>
        </w:rPr>
        <w:t xml:space="preserve">, </w:t>
      </w:r>
      <w:r w:rsidRPr="00CB0663">
        <w:rPr>
          <w:b/>
          <w:bCs/>
          <w:sz w:val="24"/>
          <w:szCs w:val="24"/>
        </w:rPr>
        <w:t>yedi kebairi</w:t>
      </w:r>
      <w:r w:rsidR="00CB0663">
        <w:rPr>
          <w:rStyle w:val="FootnoteReference"/>
          <w:sz w:val="24"/>
          <w:szCs w:val="24"/>
        </w:rPr>
        <w:footnoteReference w:id="6"/>
      </w:r>
      <w:r w:rsidRPr="00D83927">
        <w:rPr>
          <w:sz w:val="24"/>
          <w:szCs w:val="24"/>
        </w:rPr>
        <w:t xml:space="preserve"> işleme!" dersini vermiştir. Ben gerek bu derse, </w:t>
      </w:r>
      <w:r w:rsidRPr="00CB0663">
        <w:rPr>
          <w:b/>
          <w:bCs/>
          <w:sz w:val="24"/>
          <w:szCs w:val="24"/>
        </w:rPr>
        <w:t>gerek Risalet-ün Nur ile verilen derslere, Kur'an'dan istinbat buyurarak gösterdiği hakikatlere</w:t>
      </w:r>
      <w:r w:rsidR="00CB0663">
        <w:rPr>
          <w:rStyle w:val="FootnoteReference"/>
          <w:b/>
          <w:bCs/>
          <w:sz w:val="24"/>
          <w:szCs w:val="24"/>
        </w:rPr>
        <w:footnoteReference w:id="7"/>
      </w:r>
      <w:r w:rsidRPr="00D83927">
        <w:rPr>
          <w:sz w:val="24"/>
          <w:szCs w:val="24"/>
        </w:rPr>
        <w:t xml:space="preserve"> karşı Allah'ın tevfikiyle can ü dilden belî dedim, tasdik ettim. Ve bana böylece hakikat dersini veren bu zâta da ömrümde ilk defa olarak Üstad dedim. Hata etmedim, isabet ettim.</w:t>
      </w:r>
      <w:r>
        <w:rPr>
          <w:sz w:val="24"/>
          <w:szCs w:val="24"/>
        </w:rPr>
        <w:t xml:space="preserve"> </w:t>
      </w:r>
    </w:p>
    <w:p w:rsidR="00D83927" w:rsidRDefault="00D83927" w:rsidP="00D83927">
      <w:pPr>
        <w:spacing w:before="120" w:after="0" w:line="240" w:lineRule="auto"/>
        <w:jc w:val="right"/>
        <w:rPr>
          <w:sz w:val="24"/>
          <w:szCs w:val="24"/>
        </w:rPr>
      </w:pPr>
      <w:r w:rsidRPr="00D83927">
        <w:rPr>
          <w:sz w:val="24"/>
          <w:szCs w:val="24"/>
        </w:rPr>
        <w:t>Hulusi</w:t>
      </w:r>
    </w:p>
    <w:p w:rsidR="00D83927" w:rsidRPr="00D83927" w:rsidRDefault="00D83927" w:rsidP="00D83927">
      <w:pPr>
        <w:spacing w:before="120" w:after="0" w:line="240" w:lineRule="auto"/>
        <w:jc w:val="right"/>
        <w:rPr>
          <w:sz w:val="24"/>
          <w:szCs w:val="24"/>
        </w:rPr>
      </w:pPr>
    </w:p>
    <w:p w:rsidR="0069323D" w:rsidRPr="00D83927" w:rsidRDefault="0069323D" w:rsidP="00D83927">
      <w:pPr>
        <w:spacing w:before="120" w:after="0" w:line="240" w:lineRule="auto"/>
        <w:rPr>
          <w:sz w:val="24"/>
          <w:szCs w:val="24"/>
        </w:rPr>
      </w:pPr>
    </w:p>
    <w:sectPr w:rsidR="0069323D" w:rsidRPr="00D83927"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F31" w:rsidRDefault="00980F31" w:rsidP="00D83927">
      <w:pPr>
        <w:spacing w:after="0" w:line="240" w:lineRule="auto"/>
      </w:pPr>
      <w:r>
        <w:separator/>
      </w:r>
    </w:p>
  </w:endnote>
  <w:endnote w:type="continuationSeparator" w:id="1">
    <w:p w:rsidR="00980F31" w:rsidRDefault="00980F31" w:rsidP="00D83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F31" w:rsidRDefault="00980F31" w:rsidP="00D83927">
      <w:pPr>
        <w:spacing w:after="0" w:line="240" w:lineRule="auto"/>
      </w:pPr>
      <w:r>
        <w:separator/>
      </w:r>
    </w:p>
  </w:footnote>
  <w:footnote w:type="continuationSeparator" w:id="1">
    <w:p w:rsidR="00980F31" w:rsidRDefault="00980F31" w:rsidP="00D83927">
      <w:pPr>
        <w:spacing w:after="0" w:line="240" w:lineRule="auto"/>
      </w:pPr>
      <w:r>
        <w:continuationSeparator/>
      </w:r>
    </w:p>
  </w:footnote>
  <w:footnote w:id="2">
    <w:p w:rsidR="00D83927" w:rsidRPr="004903B0" w:rsidRDefault="00D83927" w:rsidP="00CB0663">
      <w:pPr>
        <w:pStyle w:val="FootnoteText"/>
        <w:spacing w:before="120"/>
        <w:jc w:val="both"/>
        <w:rPr>
          <w:sz w:val="24"/>
          <w:szCs w:val="24"/>
        </w:rPr>
      </w:pPr>
      <w:r w:rsidRPr="004903B0">
        <w:rPr>
          <w:rStyle w:val="FootnoteReference"/>
          <w:sz w:val="24"/>
          <w:szCs w:val="24"/>
        </w:rPr>
        <w:footnoteRef/>
      </w:r>
      <w:r w:rsidRPr="004903B0">
        <w:rPr>
          <w:sz w:val="24"/>
          <w:szCs w:val="24"/>
        </w:rPr>
        <w:t xml:space="preserve"> </w:t>
      </w:r>
      <w:r>
        <w:rPr>
          <w:b/>
          <w:bCs/>
          <w:sz w:val="24"/>
          <w:szCs w:val="24"/>
        </w:rPr>
        <w:t xml:space="preserve">Ayrıca </w:t>
      </w:r>
      <w:r w:rsidRPr="004903B0">
        <w:rPr>
          <w:i/>
          <w:iCs/>
          <w:sz w:val="24"/>
          <w:szCs w:val="24"/>
        </w:rPr>
        <w:t xml:space="preserve">(Bakınız: </w:t>
      </w:r>
      <w:r w:rsidRPr="00D83927">
        <w:rPr>
          <w:i/>
          <w:iCs/>
          <w:sz w:val="24"/>
          <w:szCs w:val="24"/>
          <w:highlight w:val="yellow"/>
        </w:rPr>
        <w:t>Tarikat</w:t>
      </w:r>
      <w:r>
        <w:rPr>
          <w:i/>
          <w:iCs/>
          <w:sz w:val="24"/>
          <w:szCs w:val="24"/>
        </w:rPr>
        <w:t xml:space="preserve"> ve </w:t>
      </w:r>
      <w:r w:rsidRPr="00D83927">
        <w:rPr>
          <w:i/>
          <w:iCs/>
          <w:sz w:val="24"/>
          <w:szCs w:val="24"/>
          <w:highlight w:val="yellow"/>
        </w:rPr>
        <w:t>Tasavvuf</w:t>
      </w:r>
      <w:r w:rsidRPr="004903B0">
        <w:rPr>
          <w:i/>
          <w:iCs/>
          <w:sz w:val="24"/>
          <w:szCs w:val="24"/>
        </w:rPr>
        <w:t xml:space="preserve"> Derleme</w:t>
      </w:r>
      <w:r>
        <w:rPr>
          <w:i/>
          <w:iCs/>
          <w:sz w:val="24"/>
          <w:szCs w:val="24"/>
        </w:rPr>
        <w:t>ler</w:t>
      </w:r>
      <w:r w:rsidRPr="004903B0">
        <w:rPr>
          <w:i/>
          <w:iCs/>
          <w:sz w:val="24"/>
          <w:szCs w:val="24"/>
        </w:rPr>
        <w:t>i)</w:t>
      </w:r>
    </w:p>
  </w:footnote>
  <w:footnote w:id="3">
    <w:p w:rsidR="00D83927" w:rsidRDefault="00D83927" w:rsidP="00CB0663">
      <w:pPr>
        <w:spacing w:before="120" w:after="0" w:line="240" w:lineRule="auto"/>
        <w:jc w:val="both"/>
        <w:rPr>
          <w:sz w:val="24"/>
          <w:szCs w:val="24"/>
        </w:rPr>
      </w:pPr>
      <w:r>
        <w:rPr>
          <w:rStyle w:val="FootnoteReference"/>
        </w:rPr>
        <w:footnoteRef/>
      </w:r>
      <w:r>
        <w:t xml:space="preserve"> </w:t>
      </w:r>
      <w:r>
        <w:rPr>
          <w:sz w:val="24"/>
          <w:szCs w:val="24"/>
        </w:rPr>
        <w:t>“</w:t>
      </w:r>
      <w:r w:rsidRPr="00D83927">
        <w:rPr>
          <w:sz w:val="24"/>
          <w:szCs w:val="24"/>
        </w:rPr>
        <w:t>İ'lem Eyyühel-Aziz! Tevfik-i İlahî refiki olan adam, tarîkat berzahına girmeden zahirden hakikate geçebilir. Evet Kur'andan, hakikat-ı tarîkatı -tarîkatsız- feyiz suretiyle gördüm ve bir parça aldım. Ve keza maksud-u bizzât olan ilimlere ulûm-u âliyeyi okumaksızın îsal edici bir yol buldum.</w:t>
      </w:r>
    </w:p>
    <w:p w:rsidR="00D83927" w:rsidRDefault="00D83927" w:rsidP="00CB0663">
      <w:pPr>
        <w:spacing w:before="120" w:after="0" w:line="240" w:lineRule="auto"/>
        <w:jc w:val="both"/>
        <w:rPr>
          <w:sz w:val="24"/>
          <w:szCs w:val="24"/>
        </w:rPr>
      </w:pPr>
      <w:r w:rsidRPr="00D83927">
        <w:rPr>
          <w:sz w:val="24"/>
          <w:szCs w:val="24"/>
        </w:rPr>
        <w:t>Seri-üs seyr olan bu zamanın evlâdına, kısa ve selâmet bir tarîkı ihsan etmek, rahmet-i hâkimenin şânındandır.</w:t>
      </w:r>
      <w:r>
        <w:rPr>
          <w:sz w:val="24"/>
          <w:szCs w:val="24"/>
        </w:rPr>
        <w:t xml:space="preserve">” </w:t>
      </w:r>
      <w:r w:rsidRPr="00D83927">
        <w:rPr>
          <w:b/>
          <w:bCs/>
          <w:sz w:val="24"/>
          <w:szCs w:val="24"/>
        </w:rPr>
        <w:t>Mesnevi-i Nuriye (212)</w:t>
      </w:r>
    </w:p>
    <w:p w:rsidR="00D83927" w:rsidRPr="00D83927" w:rsidRDefault="00D83927" w:rsidP="00CB0663">
      <w:pPr>
        <w:spacing w:before="120" w:after="0" w:line="240" w:lineRule="auto"/>
        <w:jc w:val="both"/>
        <w:rPr>
          <w:rFonts w:ascii="Calibri" w:hAnsi="Calibri" w:cs="Calibri"/>
          <w:sz w:val="24"/>
          <w:szCs w:val="24"/>
        </w:rPr>
      </w:pPr>
      <w:r>
        <w:rPr>
          <w:sz w:val="24"/>
          <w:szCs w:val="24"/>
        </w:rPr>
        <w:t>“</w:t>
      </w:r>
      <w:r w:rsidRPr="00D83927">
        <w:rPr>
          <w:sz w:val="24"/>
          <w:szCs w:val="24"/>
        </w:rPr>
        <w:t>Tarîkatlar, hakikatların yollarıdır. Tarîkatların içerisinde en meşhur ve en yüksek ve cadde-i kübra iddia olunan tarîk-ı Nakşbendî hakkında, o tarîkatın kahramanlarından ve imamlarından bazıları esasını böyle tar</w:t>
      </w:r>
      <w:r w:rsidRPr="00D83927">
        <w:rPr>
          <w:rFonts w:ascii="Calibri" w:hAnsi="Calibri" w:cs="Calibri"/>
          <w:sz w:val="24"/>
          <w:szCs w:val="24"/>
        </w:rPr>
        <w:t>if etmişler. Demişler ki:</w:t>
      </w:r>
    </w:p>
    <w:p w:rsidR="00D83927" w:rsidRPr="00D83927" w:rsidRDefault="00D83927" w:rsidP="00CB0663">
      <w:pPr>
        <w:spacing w:before="120" w:after="0" w:line="240" w:lineRule="auto"/>
        <w:jc w:val="center"/>
        <w:rPr>
          <w:rFonts w:ascii="Calibri" w:hAnsi="Calibri" w:cs="Calibri"/>
          <w:color w:val="FF0000"/>
          <w:sz w:val="28"/>
          <w:szCs w:val="28"/>
        </w:rPr>
      </w:pPr>
      <w:r w:rsidRPr="00D83927">
        <w:rPr>
          <w:rFonts w:ascii="Calibri" w:hAnsi="Calibri" w:cs="Calibri"/>
          <w:color w:val="FF0000"/>
          <w:sz w:val="28"/>
          <w:szCs w:val="28"/>
          <w:rtl/>
        </w:rPr>
        <w:t>دَرْ طَرِيقِ نَقْشِبَنْدِى لاَزِمْ آمَدْ چَارْ تَرْكْ</w:t>
      </w:r>
    </w:p>
    <w:p w:rsidR="00D83927" w:rsidRPr="00D83927" w:rsidRDefault="00D83927" w:rsidP="00CB0663">
      <w:pPr>
        <w:spacing w:before="120" w:after="0" w:line="240" w:lineRule="auto"/>
        <w:jc w:val="center"/>
        <w:rPr>
          <w:rFonts w:ascii="Calibri" w:hAnsi="Calibri" w:cs="Calibri"/>
          <w:color w:val="FF0000"/>
          <w:sz w:val="28"/>
          <w:szCs w:val="28"/>
        </w:rPr>
      </w:pPr>
      <w:r w:rsidRPr="00D83927">
        <w:rPr>
          <w:rFonts w:ascii="Calibri" w:hAnsi="Calibri" w:cs="Calibri"/>
          <w:color w:val="FF0000"/>
          <w:sz w:val="28"/>
          <w:szCs w:val="28"/>
          <w:rtl/>
        </w:rPr>
        <w:t>تَرْكِ دُنْيَا تَرْكِ عُقْبَى تَرْكِ هَسْتِى تَرْكِ تَرْكْ</w:t>
      </w:r>
    </w:p>
    <w:p w:rsidR="00D83927" w:rsidRPr="00D83927" w:rsidRDefault="00D83927" w:rsidP="00CB0663">
      <w:pPr>
        <w:spacing w:before="120" w:after="0" w:line="240" w:lineRule="auto"/>
        <w:jc w:val="both"/>
        <w:rPr>
          <w:sz w:val="24"/>
          <w:szCs w:val="24"/>
        </w:rPr>
      </w:pPr>
      <w:r w:rsidRPr="00D83927">
        <w:rPr>
          <w:sz w:val="24"/>
          <w:szCs w:val="24"/>
        </w:rPr>
        <w:t>Yani, tarîk-ı Nakşîde dört şeyi bırakmak lâzım. Hem dünyayı, hem nefis hesabına âhireti dahi maksud-u hakikî yapmamak, hem vücudunu unutmak, hem ucbe, fahre girmemek için bu terkleri düşünmemektir. Demek hakikî marifetullah ve kemalât-ı insaniye terk-i masiva ile olur?</w:t>
      </w:r>
    </w:p>
    <w:p w:rsidR="00D83927" w:rsidRDefault="00D83927" w:rsidP="00CB0663">
      <w:pPr>
        <w:spacing w:before="120" w:after="0" w:line="240" w:lineRule="auto"/>
        <w:jc w:val="both"/>
        <w:rPr>
          <w:sz w:val="24"/>
          <w:szCs w:val="24"/>
        </w:rPr>
      </w:pPr>
      <w:r w:rsidRPr="00D83927">
        <w:rPr>
          <w:b/>
          <w:bCs/>
          <w:sz w:val="24"/>
          <w:szCs w:val="24"/>
        </w:rPr>
        <w:t>Elcevab:</w:t>
      </w:r>
      <w:r w:rsidRPr="00D83927">
        <w:rPr>
          <w:sz w:val="24"/>
          <w:szCs w:val="24"/>
        </w:rPr>
        <w:t xml:space="preserve"> Eğer insan yalnız bir kalbden ibaret olsaydı; bütün masivayı terk, hattâ esma ve sıfâtı dahi bırakmak, yalnız Cenab-ı Hakk'ın zâtına rabt-ı kalb etmek lâzım gelirdi. Fakat insanın akıl, ruh, sır, nefis gibi pek çok vazifedar letaifi ve hasseleri vardır. İnsan-ı kâmil odur ki: Bütün o letaifi; kendilerine mahsus ayrı ayrı tarîk-ı ubudiyette, hakikat canibine sevketmek ile sahabe gibi geniş bir dairede, zengin bir surette, kalb bir kumandan gibi, letaif askerleriyle kahramanane maksada yürüsün. Yoksa kalb, yalnız kendini kurtarmak için askerini bırakıp tek başıyla gitmek, medar-ı iftihar değil, belki netice-i ızdırardır.</w:t>
      </w:r>
      <w:r>
        <w:rPr>
          <w:sz w:val="24"/>
          <w:szCs w:val="24"/>
        </w:rPr>
        <w:t xml:space="preserve">” </w:t>
      </w:r>
      <w:r w:rsidRPr="00CB0663">
        <w:rPr>
          <w:b/>
          <w:bCs/>
          <w:sz w:val="24"/>
          <w:szCs w:val="24"/>
        </w:rPr>
        <w:t>Sözler (495)</w:t>
      </w:r>
    </w:p>
    <w:p w:rsidR="00CB0663" w:rsidRPr="00CB0663" w:rsidRDefault="00CB0663" w:rsidP="00CB0663">
      <w:pPr>
        <w:spacing w:before="120" w:after="0" w:line="240" w:lineRule="auto"/>
        <w:jc w:val="both"/>
        <w:rPr>
          <w:sz w:val="24"/>
          <w:szCs w:val="24"/>
        </w:rPr>
      </w:pPr>
      <w:r>
        <w:rPr>
          <w:sz w:val="24"/>
          <w:szCs w:val="24"/>
        </w:rPr>
        <w:t>“</w:t>
      </w:r>
      <w:r w:rsidRPr="00CB0663">
        <w:rPr>
          <w:sz w:val="24"/>
          <w:szCs w:val="24"/>
        </w:rPr>
        <w:t>Evet zahirden hakikata geçmek iki suretledir:</w:t>
      </w:r>
    </w:p>
    <w:p w:rsidR="00CB0663" w:rsidRPr="00CB0663" w:rsidRDefault="00CB0663" w:rsidP="00CB0663">
      <w:pPr>
        <w:spacing w:before="120" w:after="0" w:line="240" w:lineRule="auto"/>
        <w:jc w:val="both"/>
        <w:rPr>
          <w:sz w:val="24"/>
          <w:szCs w:val="24"/>
        </w:rPr>
      </w:pPr>
      <w:r w:rsidRPr="00CB0663">
        <w:rPr>
          <w:b/>
          <w:bCs/>
          <w:sz w:val="24"/>
          <w:szCs w:val="24"/>
        </w:rPr>
        <w:t>Biri:</w:t>
      </w:r>
      <w:r w:rsidRPr="00CB0663">
        <w:rPr>
          <w:sz w:val="24"/>
          <w:szCs w:val="24"/>
        </w:rPr>
        <w:t xml:space="preserve"> Tarîkat berzahına girip, seyr ü sülûk ile kat'-ı meratib ederek hakikata geçmektir.</w:t>
      </w:r>
    </w:p>
    <w:p w:rsidR="0023068F" w:rsidRPr="0023068F" w:rsidRDefault="00CB0663" w:rsidP="0023068F">
      <w:pPr>
        <w:spacing w:before="120" w:after="0" w:line="240" w:lineRule="auto"/>
        <w:jc w:val="both"/>
        <w:rPr>
          <w:b/>
          <w:bCs/>
          <w:sz w:val="24"/>
          <w:szCs w:val="24"/>
        </w:rPr>
      </w:pPr>
      <w:r w:rsidRPr="00CB0663">
        <w:rPr>
          <w:b/>
          <w:bCs/>
          <w:sz w:val="24"/>
          <w:szCs w:val="24"/>
        </w:rPr>
        <w:t>İkinci Suret:</w:t>
      </w:r>
      <w:r w:rsidRPr="00CB0663">
        <w:rPr>
          <w:sz w:val="24"/>
          <w:szCs w:val="24"/>
        </w:rPr>
        <w:t xml:space="preserve"> Doğrudan doğruya, tarîkat berzahına uğramadan, lütf-u İlahî ile hakikata geçmektir ki, Sahabeye ve Tâbiîne has ve yüksek ve kısa tarîk şudur. Demek hakaik-i Kur'aniyeden tereşşuh eden Nurlar ve o Nurlara tercümanlık eden Sözler, o hâssaya mâlik olabilirler ve mâliktirler.</w:t>
      </w:r>
      <w:r>
        <w:rPr>
          <w:sz w:val="24"/>
          <w:szCs w:val="24"/>
        </w:rPr>
        <w:t xml:space="preserve">” </w:t>
      </w:r>
      <w:r w:rsidRPr="00CB0663">
        <w:rPr>
          <w:b/>
          <w:bCs/>
          <w:sz w:val="24"/>
          <w:szCs w:val="24"/>
        </w:rPr>
        <w:t>Mektubat (356)</w:t>
      </w:r>
    </w:p>
  </w:footnote>
  <w:footnote w:id="4">
    <w:p w:rsidR="0023068F" w:rsidRPr="0023068F" w:rsidRDefault="00D83927" w:rsidP="0023068F">
      <w:pPr>
        <w:spacing w:before="120" w:after="0" w:line="240" w:lineRule="auto"/>
        <w:jc w:val="both"/>
        <w:rPr>
          <w:sz w:val="24"/>
          <w:szCs w:val="24"/>
        </w:rPr>
      </w:pPr>
      <w:r>
        <w:rPr>
          <w:rStyle w:val="FootnoteReference"/>
        </w:rPr>
        <w:footnoteRef/>
      </w:r>
      <w:r>
        <w:t xml:space="preserve"> </w:t>
      </w:r>
      <w:r w:rsidR="0023068F" w:rsidRPr="0023068F">
        <w:rPr>
          <w:sz w:val="24"/>
          <w:szCs w:val="24"/>
        </w:rPr>
        <w:t>“</w:t>
      </w:r>
      <w:r w:rsidR="0023068F" w:rsidRPr="0023068F">
        <w:rPr>
          <w:sz w:val="24"/>
          <w:szCs w:val="24"/>
        </w:rPr>
        <w:t>Feyzi kardeşim!</w:t>
      </w:r>
    </w:p>
    <w:p w:rsidR="0023068F" w:rsidRPr="0023068F" w:rsidRDefault="0023068F" w:rsidP="0023068F">
      <w:pPr>
        <w:spacing w:before="120" w:after="0" w:line="240" w:lineRule="auto"/>
        <w:jc w:val="both"/>
        <w:rPr>
          <w:sz w:val="24"/>
          <w:szCs w:val="24"/>
        </w:rPr>
      </w:pPr>
      <w:r w:rsidRPr="0023068F">
        <w:rPr>
          <w:sz w:val="24"/>
          <w:szCs w:val="24"/>
        </w:rPr>
        <w:t>Sen, Isparta Vilayetindeki kahramanlara benzemek istiyorsan tam onlar gibi olmalısın. Hapishanede -Allah rahmet eylesin- mühim bir şeyh ve mürşid ve cazibedar bir Nakşî evliyasından bir zât, dört ay mütemadiyen Risale-i Nur'un elli-altmış şakirdleri içinde celbkârane sohbet ettiği halde, yalnız bir tek şakirdi muvakkaten kendine çekebildi. Mütebâkisi, o cazibedar şeyhe karşı müstağni kaldılar. Risale-i Nur'un yüksek, kıymetdar hizmet-i imaniyesi onlara kâfi olarak kanaat veriyordu. O şakirdlerin gayet keskin kalb basireti şöyle bir hakikatı anlamış ki: Risale-i Nur'la hizmet ise, imanı kurtarıyor; tarîkat ve şeyhlik ise, velayet mertebeleri kazandırıyor. Bir adamın imanını kurtarmak ise, on mü'mini velayet derecesine çıkarmaktan daha mühim ve daha sevablıdır. Çünki iman, saadet-i ebediyeyi kazandırdığı için bir mü'mine, küre-i arz kadar bir saltanat-ı bâkiyeyi temin eder. Velayet ise, mü'minin Cennetini genişlettirir, parlattırır. Bir adamı sultan yapmak, on neferi paşa yapmaktan</w:t>
      </w:r>
      <w:r>
        <w:rPr>
          <w:sz w:val="24"/>
          <w:szCs w:val="24"/>
        </w:rPr>
        <w:t xml:space="preserve"> </w:t>
      </w:r>
      <w:r w:rsidRPr="0023068F">
        <w:rPr>
          <w:sz w:val="24"/>
          <w:szCs w:val="24"/>
        </w:rPr>
        <w:t>ne kadar yüksek ise, bir adamın imanını kurtarmak, on adamı veli yapmaktan daha sevablı bir hizmettir.</w:t>
      </w:r>
    </w:p>
    <w:p w:rsidR="0023068F" w:rsidRPr="0023068F" w:rsidRDefault="0023068F" w:rsidP="0023068F">
      <w:pPr>
        <w:spacing w:before="120" w:after="0" w:line="240" w:lineRule="auto"/>
        <w:jc w:val="both"/>
        <w:rPr>
          <w:sz w:val="24"/>
          <w:szCs w:val="24"/>
        </w:rPr>
      </w:pPr>
      <w:r w:rsidRPr="0023068F">
        <w:rPr>
          <w:sz w:val="24"/>
          <w:szCs w:val="24"/>
        </w:rPr>
        <w:t>İşte bu dakik sırrı, senin Isparta'lı kardeşlerin bir kısmının akılları görmese de umumunun keskin kalbleri görmüş ki; benim gibi bîçare, günahkâr bir adamın arkadaşlığını evliyalara, belki de eğer bulunsaydı, müçtehidlere dahi tercih ettiler. Bu hakikata binaen, bu şehre bir kutub, bir gavs-ı a'zam gelse, seni on günde velayet derecesine çıkaracağım dese, sen Risale-i Nur'u bırakıp onun yanına gitsen, Isparta kahramanlarına arkadaş olamazsın.</w:t>
      </w:r>
      <w:r>
        <w:rPr>
          <w:sz w:val="24"/>
          <w:szCs w:val="24"/>
        </w:rPr>
        <w:t xml:space="preserve">” </w:t>
      </w:r>
      <w:r>
        <w:rPr>
          <w:b/>
          <w:bCs/>
          <w:sz w:val="24"/>
          <w:szCs w:val="24"/>
        </w:rPr>
        <w:t>Kastamonu Lahikası (</w:t>
      </w:r>
      <w:r w:rsidRPr="0023068F">
        <w:rPr>
          <w:b/>
          <w:bCs/>
          <w:sz w:val="24"/>
          <w:szCs w:val="24"/>
        </w:rPr>
        <w:t>83)</w:t>
      </w:r>
    </w:p>
    <w:p w:rsidR="00D83927" w:rsidRDefault="00D83927" w:rsidP="00CB0663">
      <w:pPr>
        <w:pStyle w:val="FootnoteText"/>
        <w:spacing w:before="120"/>
        <w:jc w:val="both"/>
      </w:pPr>
      <w:r w:rsidRPr="004903B0">
        <w:rPr>
          <w:i/>
          <w:iCs/>
          <w:sz w:val="24"/>
          <w:szCs w:val="24"/>
        </w:rPr>
        <w:t xml:space="preserve">(Bakınız: </w:t>
      </w:r>
      <w:r w:rsidRPr="00D83927">
        <w:rPr>
          <w:i/>
          <w:iCs/>
          <w:sz w:val="24"/>
          <w:szCs w:val="24"/>
          <w:highlight w:val="yellow"/>
        </w:rPr>
        <w:t>İman Ve İmana Hizmetin Ehemmiyeti</w:t>
      </w:r>
      <w:r w:rsidRPr="00D83927">
        <w:rPr>
          <w:i/>
          <w:iCs/>
          <w:sz w:val="24"/>
          <w:szCs w:val="24"/>
        </w:rPr>
        <w:t xml:space="preserve"> </w:t>
      </w:r>
      <w:r>
        <w:rPr>
          <w:i/>
          <w:iCs/>
          <w:sz w:val="24"/>
          <w:szCs w:val="24"/>
        </w:rPr>
        <w:t>ve</w:t>
      </w:r>
      <w:r w:rsidRPr="00D83927">
        <w:t xml:space="preserve"> </w:t>
      </w:r>
      <w:r w:rsidRPr="00D83927">
        <w:rPr>
          <w:i/>
          <w:iCs/>
          <w:sz w:val="24"/>
          <w:szCs w:val="24"/>
          <w:highlight w:val="yellow"/>
        </w:rPr>
        <w:t>İman Kurtarma Hizmeti Esası</w:t>
      </w:r>
      <w:r w:rsidRPr="00D83927">
        <w:rPr>
          <w:i/>
          <w:iCs/>
          <w:sz w:val="24"/>
          <w:szCs w:val="24"/>
        </w:rPr>
        <w:t xml:space="preserve"> </w:t>
      </w:r>
      <w:r w:rsidRPr="004903B0">
        <w:rPr>
          <w:i/>
          <w:iCs/>
          <w:sz w:val="24"/>
          <w:szCs w:val="24"/>
        </w:rPr>
        <w:t>Derleme</w:t>
      </w:r>
      <w:r w:rsidR="00CB0663">
        <w:rPr>
          <w:i/>
          <w:iCs/>
          <w:sz w:val="24"/>
          <w:szCs w:val="24"/>
        </w:rPr>
        <w:t>ler</w:t>
      </w:r>
      <w:r w:rsidRPr="004903B0">
        <w:rPr>
          <w:i/>
          <w:iCs/>
          <w:sz w:val="24"/>
          <w:szCs w:val="24"/>
        </w:rPr>
        <w:t>i)</w:t>
      </w:r>
    </w:p>
  </w:footnote>
  <w:footnote w:id="5">
    <w:p w:rsidR="00D93F94" w:rsidRDefault="00D93F94" w:rsidP="00CB0663">
      <w:pPr>
        <w:pStyle w:val="FootnoteText"/>
        <w:spacing w:before="120"/>
        <w:jc w:val="both"/>
      </w:pPr>
      <w:r>
        <w:rPr>
          <w:rStyle w:val="FootnoteReference"/>
        </w:rPr>
        <w:footnoteRef/>
      </w:r>
      <w:r>
        <w:t xml:space="preserve"> </w:t>
      </w:r>
      <w:r w:rsidRPr="00750714">
        <w:rPr>
          <w:rFonts w:cs="Calibri"/>
          <w:bCs/>
          <w:i/>
          <w:sz w:val="24"/>
          <w:szCs w:val="24"/>
        </w:rPr>
        <w:t xml:space="preserve">(Bakınız: İslam Prensipleri Ansiklopedisi </w:t>
      </w:r>
      <w:r w:rsidRPr="00874F89">
        <w:rPr>
          <w:rFonts w:cs="Calibri"/>
          <w:bCs/>
          <w:i/>
          <w:sz w:val="24"/>
          <w:szCs w:val="24"/>
          <w:highlight w:val="yellow"/>
        </w:rPr>
        <w:t>Sünnet</w:t>
      </w:r>
      <w:r w:rsidRPr="00750714">
        <w:rPr>
          <w:rFonts w:cs="Calibri"/>
          <w:bCs/>
          <w:i/>
          <w:sz w:val="24"/>
          <w:szCs w:val="24"/>
        </w:rPr>
        <w:t xml:space="preserve"> Madde</w:t>
      </w:r>
      <w:r>
        <w:rPr>
          <w:rFonts w:cs="Calibri"/>
          <w:bCs/>
          <w:i/>
          <w:sz w:val="24"/>
          <w:szCs w:val="24"/>
        </w:rPr>
        <w:t>s</w:t>
      </w:r>
      <w:r w:rsidRPr="00750714">
        <w:rPr>
          <w:rFonts w:cs="Calibri"/>
          <w:bCs/>
          <w:i/>
          <w:sz w:val="24"/>
          <w:szCs w:val="24"/>
        </w:rPr>
        <w:t xml:space="preserve">i </w:t>
      </w:r>
      <w:r>
        <w:rPr>
          <w:rFonts w:cs="Calibri"/>
          <w:bCs/>
          <w:i/>
          <w:sz w:val="24"/>
          <w:szCs w:val="24"/>
        </w:rPr>
        <w:t xml:space="preserve">ve </w:t>
      </w:r>
      <w:r w:rsidRPr="00D93F94">
        <w:rPr>
          <w:rFonts w:cs="Calibri"/>
          <w:bCs/>
          <w:i/>
          <w:sz w:val="24"/>
          <w:szCs w:val="24"/>
          <w:highlight w:val="yellow"/>
        </w:rPr>
        <w:t>Sünnet-i Seniyye</w:t>
      </w:r>
      <w:r>
        <w:rPr>
          <w:rFonts w:cs="Calibri"/>
          <w:bCs/>
          <w:i/>
          <w:sz w:val="24"/>
          <w:szCs w:val="24"/>
        </w:rPr>
        <w:t xml:space="preserve"> Derlemesi</w:t>
      </w:r>
      <w:r w:rsidRPr="00750714">
        <w:rPr>
          <w:rFonts w:cs="Calibri"/>
          <w:bCs/>
          <w:i/>
          <w:sz w:val="24"/>
          <w:szCs w:val="24"/>
        </w:rPr>
        <w:t>)</w:t>
      </w:r>
    </w:p>
  </w:footnote>
  <w:footnote w:id="6">
    <w:p w:rsidR="00CB0663" w:rsidRDefault="00CB0663" w:rsidP="00CB0663">
      <w:pPr>
        <w:spacing w:before="120" w:after="0" w:line="240" w:lineRule="auto"/>
        <w:jc w:val="both"/>
        <w:rPr>
          <w:b/>
          <w:bCs/>
          <w:sz w:val="24"/>
          <w:szCs w:val="24"/>
        </w:rPr>
      </w:pPr>
      <w:r>
        <w:rPr>
          <w:rStyle w:val="FootnoteReference"/>
        </w:rPr>
        <w:footnoteRef/>
      </w:r>
      <w:r>
        <w:t xml:space="preserve"> </w:t>
      </w:r>
      <w:r>
        <w:rPr>
          <w:sz w:val="24"/>
          <w:szCs w:val="24"/>
        </w:rPr>
        <w:t>“</w:t>
      </w:r>
      <w:r w:rsidRPr="00D93F94">
        <w:rPr>
          <w:sz w:val="24"/>
          <w:szCs w:val="24"/>
        </w:rPr>
        <w:t>Hem mektubunuzda "yedi kebair"i soruyorsunuz. Kebair çoktur, fakat ekber-ül kebair ve mubikat-ı seb'a tabir edilen günahlar yedidir: "Katl, zina, şarab, ukuk-u vâlideyn (yani kat'-ı sıla-yı rahm), kumar, yalancı şehadetlik, dine zarar verecek bid'alara tarafdar olmak"tır.</w:t>
      </w:r>
      <w:r>
        <w:rPr>
          <w:sz w:val="24"/>
          <w:szCs w:val="24"/>
        </w:rPr>
        <w:t>”</w:t>
      </w:r>
      <w:r w:rsidRPr="00D93F94">
        <w:rPr>
          <w:b/>
          <w:bCs/>
          <w:sz w:val="24"/>
          <w:szCs w:val="24"/>
        </w:rPr>
        <w:t xml:space="preserve"> </w:t>
      </w:r>
      <w:r>
        <w:rPr>
          <w:b/>
          <w:bCs/>
          <w:sz w:val="24"/>
          <w:szCs w:val="24"/>
        </w:rPr>
        <w:t>Barla Lahikası (335</w:t>
      </w:r>
      <w:r w:rsidRPr="00D93F94">
        <w:rPr>
          <w:b/>
          <w:bCs/>
          <w:sz w:val="24"/>
          <w:szCs w:val="24"/>
        </w:rPr>
        <w:t>)</w:t>
      </w:r>
    </w:p>
    <w:p w:rsidR="00CB0663" w:rsidRPr="00D93F94" w:rsidRDefault="00CB0663" w:rsidP="00CB0663">
      <w:pPr>
        <w:spacing w:before="120" w:after="0" w:line="240" w:lineRule="auto"/>
        <w:jc w:val="both"/>
        <w:rPr>
          <w:rFonts w:cs="Calibri"/>
          <w:bCs/>
          <w:i/>
          <w:sz w:val="24"/>
          <w:szCs w:val="24"/>
        </w:rPr>
      </w:pPr>
      <w:r w:rsidRPr="00750714">
        <w:rPr>
          <w:rFonts w:cs="Calibri"/>
          <w:bCs/>
          <w:i/>
          <w:sz w:val="24"/>
          <w:szCs w:val="24"/>
        </w:rPr>
        <w:t>(Bakınız:</w:t>
      </w:r>
      <w:r>
        <w:rPr>
          <w:rFonts w:cs="Calibri"/>
          <w:bCs/>
          <w:i/>
          <w:sz w:val="24"/>
          <w:szCs w:val="24"/>
        </w:rPr>
        <w:t xml:space="preserve"> </w:t>
      </w:r>
      <w:r w:rsidRPr="00750714">
        <w:rPr>
          <w:rFonts w:cs="Calibri"/>
          <w:bCs/>
          <w:i/>
          <w:sz w:val="24"/>
          <w:szCs w:val="24"/>
        </w:rPr>
        <w:t xml:space="preserve">İslam Prensipleri Ansiklopedisi </w:t>
      </w:r>
      <w:r w:rsidRPr="00D93F94">
        <w:rPr>
          <w:rFonts w:cs="Calibri"/>
          <w:bCs/>
          <w:i/>
          <w:sz w:val="24"/>
          <w:szCs w:val="24"/>
          <w:highlight w:val="yellow"/>
        </w:rPr>
        <w:t>Günah</w:t>
      </w:r>
      <w:r>
        <w:rPr>
          <w:rFonts w:cs="Calibri"/>
          <w:bCs/>
          <w:i/>
          <w:sz w:val="24"/>
          <w:szCs w:val="24"/>
        </w:rPr>
        <w:t xml:space="preserve">, </w:t>
      </w:r>
      <w:r w:rsidRPr="00D853D8">
        <w:rPr>
          <w:rFonts w:cs="Calibri"/>
          <w:bCs/>
          <w:i/>
          <w:sz w:val="24"/>
          <w:szCs w:val="24"/>
          <w:highlight w:val="yellow"/>
        </w:rPr>
        <w:t>Bid’at</w:t>
      </w:r>
      <w:r>
        <w:rPr>
          <w:rFonts w:cs="Calibri"/>
          <w:bCs/>
          <w:i/>
          <w:sz w:val="24"/>
          <w:szCs w:val="24"/>
        </w:rPr>
        <w:t xml:space="preserve"> ve </w:t>
      </w:r>
      <w:r w:rsidRPr="00D93F94">
        <w:rPr>
          <w:rFonts w:cs="Calibri"/>
          <w:bCs/>
          <w:i/>
          <w:sz w:val="24"/>
          <w:szCs w:val="24"/>
          <w:highlight w:val="yellow"/>
        </w:rPr>
        <w:t>Sıla-i Rahm</w:t>
      </w:r>
      <w:r w:rsidRPr="00750714">
        <w:rPr>
          <w:rFonts w:cs="Calibri"/>
          <w:bCs/>
          <w:i/>
          <w:sz w:val="24"/>
          <w:szCs w:val="24"/>
        </w:rPr>
        <w:t xml:space="preserve"> </w:t>
      </w:r>
      <w:r>
        <w:rPr>
          <w:rFonts w:cs="Calibri"/>
          <w:bCs/>
          <w:i/>
          <w:sz w:val="24"/>
          <w:szCs w:val="24"/>
        </w:rPr>
        <w:t>Maddeleri</w:t>
      </w:r>
      <w:r w:rsidRPr="00750714">
        <w:rPr>
          <w:rFonts w:cs="Calibri"/>
          <w:bCs/>
          <w:i/>
          <w:sz w:val="24"/>
          <w:szCs w:val="24"/>
        </w:rPr>
        <w:t xml:space="preserve"> </w:t>
      </w:r>
      <w:r>
        <w:rPr>
          <w:rFonts w:cs="Calibri"/>
          <w:bCs/>
          <w:i/>
          <w:sz w:val="24"/>
          <w:szCs w:val="24"/>
        </w:rPr>
        <w:t xml:space="preserve">ve </w:t>
      </w:r>
      <w:r w:rsidRPr="00D853D8">
        <w:rPr>
          <w:rFonts w:cs="Calibri"/>
          <w:bCs/>
          <w:i/>
          <w:sz w:val="24"/>
          <w:szCs w:val="24"/>
          <w:highlight w:val="yellow"/>
        </w:rPr>
        <w:t>Bid’at</w:t>
      </w:r>
      <w:r>
        <w:rPr>
          <w:rFonts w:cs="Calibri"/>
          <w:bCs/>
          <w:i/>
          <w:sz w:val="24"/>
          <w:szCs w:val="24"/>
        </w:rPr>
        <w:t xml:space="preserve">, </w:t>
      </w:r>
      <w:r w:rsidRPr="00D853D8">
        <w:rPr>
          <w:rFonts w:cs="Calibri"/>
          <w:bCs/>
          <w:i/>
          <w:sz w:val="24"/>
          <w:szCs w:val="24"/>
          <w:highlight w:val="yellow"/>
        </w:rPr>
        <w:t>Bid’aların Felaketi</w:t>
      </w:r>
      <w:r>
        <w:rPr>
          <w:rFonts w:cs="Calibri"/>
          <w:bCs/>
          <w:i/>
          <w:sz w:val="24"/>
          <w:szCs w:val="24"/>
        </w:rPr>
        <w:t xml:space="preserve"> ve </w:t>
      </w:r>
      <w:r w:rsidRPr="00D93F94">
        <w:rPr>
          <w:rFonts w:cs="Calibri"/>
          <w:bCs/>
          <w:i/>
          <w:sz w:val="24"/>
          <w:szCs w:val="24"/>
          <w:highlight w:val="yellow"/>
        </w:rPr>
        <w:t>Sıla-i Rahm</w:t>
      </w:r>
      <w:r w:rsidRPr="00750714">
        <w:rPr>
          <w:rFonts w:cs="Calibri"/>
          <w:bCs/>
          <w:i/>
          <w:sz w:val="24"/>
          <w:szCs w:val="24"/>
        </w:rPr>
        <w:t xml:space="preserve"> </w:t>
      </w:r>
      <w:r>
        <w:rPr>
          <w:rFonts w:cs="Calibri"/>
          <w:bCs/>
          <w:i/>
          <w:sz w:val="24"/>
          <w:szCs w:val="24"/>
        </w:rPr>
        <w:t>Derlemeleri</w:t>
      </w:r>
      <w:r w:rsidRPr="00750714">
        <w:rPr>
          <w:rFonts w:cs="Calibri"/>
          <w:bCs/>
          <w:i/>
          <w:sz w:val="24"/>
          <w:szCs w:val="24"/>
        </w:rPr>
        <w:t>)</w:t>
      </w:r>
    </w:p>
  </w:footnote>
  <w:footnote w:id="7">
    <w:p w:rsidR="00CB0663" w:rsidRDefault="00CB0663" w:rsidP="00CB0663">
      <w:pPr>
        <w:pStyle w:val="FootnoteText"/>
        <w:spacing w:before="120"/>
      </w:pPr>
      <w:r>
        <w:rPr>
          <w:rStyle w:val="FootnoteReference"/>
        </w:rPr>
        <w:footnoteRef/>
      </w:r>
      <w:r>
        <w:t xml:space="preserve"> </w:t>
      </w:r>
      <w:r w:rsidRPr="00750714">
        <w:rPr>
          <w:rFonts w:cs="Calibri"/>
          <w:bCs/>
          <w:i/>
          <w:sz w:val="24"/>
          <w:szCs w:val="24"/>
        </w:rPr>
        <w:t xml:space="preserve">(Bakınız: </w:t>
      </w:r>
      <w:r w:rsidRPr="00CB0663">
        <w:rPr>
          <w:rFonts w:cs="Calibri"/>
          <w:bCs/>
          <w:i/>
          <w:sz w:val="24"/>
          <w:szCs w:val="24"/>
          <w:highlight w:val="yellow"/>
        </w:rPr>
        <w:t>Risale-i Nur</w:t>
      </w:r>
      <w:r>
        <w:rPr>
          <w:rFonts w:cs="Calibri"/>
          <w:bCs/>
          <w:i/>
          <w:sz w:val="24"/>
          <w:szCs w:val="24"/>
        </w:rPr>
        <w:t xml:space="preserve"> Derlemesi</w:t>
      </w:r>
      <w:r w:rsidRPr="00750714">
        <w:rPr>
          <w:rFonts w:cs="Calibri"/>
          <w:bCs/>
          <w:i/>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D83927"/>
    <w:rsid w:val="0023068F"/>
    <w:rsid w:val="0069323D"/>
    <w:rsid w:val="006B217B"/>
    <w:rsid w:val="00980F31"/>
    <w:rsid w:val="00C22996"/>
    <w:rsid w:val="00CB0663"/>
    <w:rsid w:val="00D83927"/>
    <w:rsid w:val="00D93F94"/>
    <w:rsid w:val="00F562C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83927"/>
    <w:rPr>
      <w:vertAlign w:val="superscript"/>
    </w:rPr>
  </w:style>
  <w:style w:type="paragraph" w:styleId="FootnoteText">
    <w:name w:val="footnote text"/>
    <w:basedOn w:val="Normal"/>
    <w:link w:val="FootnoteTextChar"/>
    <w:uiPriority w:val="99"/>
    <w:semiHidden/>
    <w:unhideWhenUsed/>
    <w:rsid w:val="00D83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927"/>
    <w:rPr>
      <w:sz w:val="20"/>
      <w:szCs w:val="20"/>
    </w:rPr>
  </w:style>
  <w:style w:type="character" w:customStyle="1" w:styleId="DipnotSabitleyicisi">
    <w:name w:val="Dipnot Sabitleyicisi"/>
    <w:rsid w:val="00D83927"/>
    <w:rPr>
      <w:vertAlign w:val="superscript"/>
    </w:rPr>
  </w:style>
  <w:style w:type="character" w:customStyle="1" w:styleId="DipnotKarakterleri">
    <w:name w:val="Dipnot Karakterleri"/>
    <w:qFormat/>
    <w:rsid w:val="00D83927"/>
  </w:style>
  <w:style w:type="paragraph" w:customStyle="1" w:styleId="Footnote">
    <w:name w:val="Footnote"/>
    <w:basedOn w:val="Normal"/>
    <w:qFormat/>
    <w:rsid w:val="00D83927"/>
    <w:pPr>
      <w:suppressLineNumbers/>
      <w:spacing w:after="0" w:line="240" w:lineRule="auto"/>
      <w:ind w:left="339" w:hanging="339"/>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A0CA-996E-4780-8367-89A577F5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4</cp:revision>
  <dcterms:created xsi:type="dcterms:W3CDTF">2024-02-24T10:19:00Z</dcterms:created>
  <dcterms:modified xsi:type="dcterms:W3CDTF">2024-02-25T15:41:00Z</dcterms:modified>
</cp:coreProperties>
</file>